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3E" w:rsidRDefault="00FF7A3E" w:rsidP="00FF7A3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9A5498">
        <w:rPr>
          <w:rFonts w:ascii="Calibri,Bold" w:hAnsi="Calibri,Bold" w:cs="Calibri,Bold"/>
          <w:b/>
          <w:bCs/>
        </w:rPr>
        <w:t xml:space="preserve">COLL </w:t>
      </w:r>
      <w:r w:rsidR="00B50C50">
        <w:rPr>
          <w:rFonts w:ascii="Calibri,Bold" w:hAnsi="Calibri,Bold" w:cs="Calibri,Bold"/>
          <w:b/>
          <w:bCs/>
        </w:rPr>
        <w:t>2</w:t>
      </w:r>
      <w:r w:rsidRPr="009A5498">
        <w:rPr>
          <w:rFonts w:ascii="Calibri,Bold" w:hAnsi="Calibri,Bold" w:cs="Calibri,Bold"/>
          <w:b/>
          <w:bCs/>
        </w:rPr>
        <w:t>00 Assessment</w:t>
      </w:r>
      <w:r w:rsidR="00EB2827">
        <w:rPr>
          <w:rFonts w:ascii="Calibri,Bold" w:hAnsi="Calibri,Bold" w:cs="Calibri,Bold"/>
          <w:b/>
          <w:bCs/>
        </w:rPr>
        <w:t xml:space="preserve"> </w:t>
      </w:r>
      <w:r w:rsidRPr="009A5498">
        <w:rPr>
          <w:rFonts w:ascii="Calibri,Bold" w:hAnsi="Calibri,Bold" w:cs="Calibri,Bold"/>
          <w:b/>
          <w:bCs/>
        </w:rPr>
        <w:t>—</w:t>
      </w:r>
      <w:r w:rsidR="00EB2827">
        <w:rPr>
          <w:rFonts w:ascii="Calibri,Bold" w:hAnsi="Calibri,Bold" w:cs="Calibri,Bold"/>
          <w:b/>
          <w:bCs/>
        </w:rPr>
        <w:t xml:space="preserve"> Course Portfolio </w:t>
      </w:r>
      <w:r w:rsidR="00DE6A72">
        <w:rPr>
          <w:rFonts w:ascii="Calibri,Bold" w:hAnsi="Calibri,Bold" w:cs="Calibri,Bold"/>
          <w:b/>
          <w:bCs/>
        </w:rPr>
        <w:t>Narrative Template</w:t>
      </w:r>
    </w:p>
    <w:p w:rsidR="00FF7A3E" w:rsidRPr="009A5498" w:rsidRDefault="00FF7A3E" w:rsidP="00FF7A3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F52403" w:rsidRPr="00AC5B58" w:rsidRDefault="00F52403" w:rsidP="003F114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C5B58">
        <w:rPr>
          <w:rFonts w:ascii="Calibri" w:hAnsi="Calibri" w:cs="Calibri"/>
        </w:rPr>
        <w:t xml:space="preserve">Use this template </w:t>
      </w:r>
      <w:r>
        <w:rPr>
          <w:rFonts w:ascii="Calibri" w:hAnsi="Calibri" w:cs="Calibri"/>
        </w:rPr>
        <w:t>to write your Course Portfolio Narrative.</w:t>
      </w:r>
    </w:p>
    <w:p w:rsidR="00AC5B58" w:rsidRPr="00AC5B58" w:rsidRDefault="00AC5B58" w:rsidP="003901D5">
      <w:pPr>
        <w:autoSpaceDE w:val="0"/>
        <w:autoSpaceDN w:val="0"/>
        <w:adjustRightInd w:val="0"/>
        <w:jc w:val="center"/>
        <w:rPr>
          <w:rFonts w:cs="Calibri"/>
        </w:rPr>
      </w:pPr>
    </w:p>
    <w:p w:rsidR="00E52877" w:rsidRPr="00EB2827" w:rsidRDefault="00E52877" w:rsidP="00EB2827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890"/>
        <w:gridCol w:w="1350"/>
        <w:gridCol w:w="2970"/>
        <w:gridCol w:w="3384"/>
      </w:tblGrid>
      <w:tr w:rsidR="00D21F4A" w:rsidTr="00847278">
        <w:tc>
          <w:tcPr>
            <w:tcW w:w="6930" w:type="dxa"/>
            <w:gridSpan w:val="4"/>
            <w:tcBorders>
              <w:bottom w:val="nil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Prefix, course number, and section number (e.g., </w:t>
            </w:r>
            <w:r w:rsidRPr="007417AE">
              <w:rPr>
                <w:rFonts w:cs="Calibri"/>
                <w:sz w:val="20"/>
                <w:szCs w:val="20"/>
              </w:rPr>
              <w:t>HIST 100-01/AMST 100-01</w:t>
            </w:r>
            <w:r>
              <w:rPr>
                <w:rFonts w:cs="Calibri"/>
              </w:rPr>
              <w:t>):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D21F4A" w:rsidTr="00847278">
        <w:trPr>
          <w:trHeight w:hRule="exact" w:val="144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6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D21F4A" w:rsidTr="00847278">
        <w:tc>
          <w:tcPr>
            <w:tcW w:w="720" w:type="dxa"/>
            <w:tcBorders>
              <w:top w:val="nil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CRN: 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Course title:  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:rsidR="00E52877" w:rsidRDefault="00E52877" w:rsidP="003901D5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tbl>
      <w:tblPr>
        <w:tblStyle w:val="TableGrid"/>
        <w:tblW w:w="0" w:type="auto"/>
        <w:tblInd w:w="19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520"/>
      </w:tblGrid>
      <w:tr w:rsidR="00D21F4A" w:rsidTr="00847278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F4A" w:rsidRPr="00D63B50" w:rsidRDefault="00D21F4A" w:rsidP="00847278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>Instructor Name</w:t>
            </w:r>
            <w:r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 </w:t>
            </w:r>
          </w:p>
        </w:tc>
        <w:tc>
          <w:tcPr>
            <w:tcW w:w="7520" w:type="dxa"/>
            <w:tcBorders>
              <w:left w:val="single" w:sz="4" w:space="0" w:color="auto"/>
            </w:tcBorders>
          </w:tcPr>
          <w:p w:rsidR="00D21F4A" w:rsidRDefault="00D21F4A" w:rsidP="00847278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:rsidR="00D21F4A" w:rsidRPr="00D21F4A" w:rsidRDefault="00D21F4A">
      <w:pPr>
        <w:rPr>
          <w:sz w:val="16"/>
          <w:szCs w:val="16"/>
        </w:rPr>
      </w:pPr>
    </w:p>
    <w:tbl>
      <w:tblPr>
        <w:tblStyle w:val="TableGrid"/>
        <w:tblW w:w="0" w:type="auto"/>
        <w:tblInd w:w="19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520"/>
      </w:tblGrid>
      <w:tr w:rsidR="00B50C50" w:rsidTr="00992CF5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C50" w:rsidRPr="00D63B50" w:rsidRDefault="00992CF5" w:rsidP="00B44595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 xml:space="preserve">Home </w:t>
            </w:r>
            <w:r w:rsidR="00B50C50">
              <w:rPr>
                <w:rFonts w:cs="Calibri"/>
              </w:rPr>
              <w:t>Department</w:t>
            </w:r>
            <w:r w:rsidR="00D21F4A">
              <w:rPr>
                <w:rFonts w:cs="Calibri"/>
              </w:rPr>
              <w:t>:</w:t>
            </w:r>
            <w:bookmarkStart w:id="0" w:name="_GoBack"/>
            <w:bookmarkEnd w:id="0"/>
          </w:p>
        </w:tc>
        <w:tc>
          <w:tcPr>
            <w:tcW w:w="7520" w:type="dxa"/>
            <w:tcBorders>
              <w:left w:val="single" w:sz="4" w:space="0" w:color="auto"/>
            </w:tcBorders>
          </w:tcPr>
          <w:p w:rsidR="00B50C50" w:rsidRDefault="00B50C50" w:rsidP="00B4459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:rsidR="00B50C50" w:rsidRPr="00EB2827" w:rsidRDefault="00B50C50" w:rsidP="003901D5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E52877" w:rsidRDefault="00E52877" w:rsidP="003901D5">
      <w:pPr>
        <w:autoSpaceDE w:val="0"/>
        <w:autoSpaceDN w:val="0"/>
        <w:adjustRightInd w:val="0"/>
        <w:jc w:val="both"/>
        <w:rPr>
          <w:rFonts w:cs="Calibri"/>
        </w:rPr>
      </w:pPr>
    </w:p>
    <w:p w:rsidR="00992CF5" w:rsidRDefault="00B50C50" w:rsidP="00992CF5">
      <w:pPr>
        <w:autoSpaceDE w:val="0"/>
        <w:autoSpaceDN w:val="0"/>
        <w:adjustRightInd w:val="0"/>
        <w:rPr>
          <w:rFonts w:cs="Calibri"/>
        </w:rPr>
      </w:pPr>
      <w:r w:rsidRPr="00115A05">
        <w:rPr>
          <w:rFonts w:cs="Calibri"/>
          <w:u w:val="single"/>
        </w:rPr>
        <w:t xml:space="preserve">Description of COLL </w:t>
      </w:r>
      <w:r w:rsidR="00115A05">
        <w:rPr>
          <w:rFonts w:cs="Calibri"/>
          <w:u w:val="single"/>
        </w:rPr>
        <w:t>2</w:t>
      </w:r>
      <w:r w:rsidRPr="00115A05">
        <w:rPr>
          <w:rFonts w:cs="Calibri"/>
          <w:u w:val="single"/>
        </w:rPr>
        <w:t xml:space="preserve">00 from the COLL </w:t>
      </w:r>
      <w:r w:rsidR="00115A05">
        <w:rPr>
          <w:rFonts w:cs="Calibri"/>
          <w:u w:val="single"/>
        </w:rPr>
        <w:t>2</w:t>
      </w:r>
      <w:r w:rsidRPr="00115A05">
        <w:rPr>
          <w:rFonts w:cs="Calibri"/>
          <w:u w:val="single"/>
        </w:rPr>
        <w:t>00 Course Approval Form</w:t>
      </w:r>
      <w:r>
        <w:rPr>
          <w:rFonts w:cs="Calibri"/>
        </w:rPr>
        <w:t>:</w:t>
      </w:r>
    </w:p>
    <w:p w:rsidR="00992CF5" w:rsidRPr="00992CF5" w:rsidRDefault="00992CF5" w:rsidP="00992CF5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992CF5" w:rsidRDefault="00992CF5" w:rsidP="00992CF5">
      <w:pPr>
        <w:autoSpaceDE w:val="0"/>
        <w:autoSpaceDN w:val="0"/>
        <w:adjustRightInd w:val="0"/>
        <w:rPr>
          <w:rFonts w:cs="Calibri"/>
        </w:rPr>
      </w:pPr>
      <w:r w:rsidRPr="00992CF5">
        <w:rPr>
          <w:rFonts w:cs="Calibri"/>
        </w:rPr>
        <w:t>Each College 200 course belongs to one or more of the domains. Each of these courses</w:t>
      </w:r>
      <w:r>
        <w:rPr>
          <w:rFonts w:cs="Calibri"/>
        </w:rPr>
        <w:t xml:space="preserve"> </w:t>
      </w:r>
      <w:r w:rsidRPr="00992CF5">
        <w:rPr>
          <w:rFonts w:cs="Calibri"/>
        </w:rPr>
        <w:t>significantly enhances student knowledge of a specific topic and also calls upon students to</w:t>
      </w:r>
      <w:r>
        <w:rPr>
          <w:rFonts w:cs="Calibri"/>
        </w:rPr>
        <w:t xml:space="preserve"> </w:t>
      </w:r>
      <w:r w:rsidRPr="00992CF5">
        <w:rPr>
          <w:rFonts w:cs="Calibri"/>
        </w:rPr>
        <w:t>think about how its discipline fits into the broader framework of the liberal arts. Thus, each</w:t>
      </w:r>
      <w:r>
        <w:rPr>
          <w:rFonts w:cs="Calibri"/>
        </w:rPr>
        <w:t xml:space="preserve"> </w:t>
      </w:r>
      <w:r w:rsidRPr="00992CF5">
        <w:rPr>
          <w:rFonts w:cs="Calibri"/>
        </w:rPr>
        <w:t>course emphasizes ideas and methods central to its domain(s) while also looking outward to one</w:t>
      </w:r>
      <w:r>
        <w:rPr>
          <w:rFonts w:cs="Calibri"/>
        </w:rPr>
        <w:t xml:space="preserve"> </w:t>
      </w:r>
      <w:r w:rsidRPr="00992CF5">
        <w:rPr>
          <w:rFonts w:cs="Calibri"/>
        </w:rPr>
        <w:t>or both of the other domains. To the extent possible, College 200 courses also give students the</w:t>
      </w:r>
      <w:r>
        <w:rPr>
          <w:rFonts w:cs="Calibri"/>
        </w:rPr>
        <w:t xml:space="preserve"> </w:t>
      </w:r>
      <w:r w:rsidRPr="00992CF5">
        <w:rPr>
          <w:rFonts w:cs="Calibri"/>
        </w:rPr>
        <w:t>opportunity to put methodologies represented in the course into practice. Every student must</w:t>
      </w:r>
      <w:r>
        <w:rPr>
          <w:rFonts w:cs="Calibri"/>
        </w:rPr>
        <w:t xml:space="preserve"> </w:t>
      </w:r>
      <w:r w:rsidRPr="00992CF5">
        <w:rPr>
          <w:rFonts w:cs="Calibri"/>
        </w:rPr>
        <w:t>take a total of twelve College 200 credits, with at least one course of three or more credits in each</w:t>
      </w:r>
      <w:r>
        <w:rPr>
          <w:rFonts w:cs="Calibri"/>
        </w:rPr>
        <w:t xml:space="preserve"> </w:t>
      </w:r>
      <w:r w:rsidRPr="00992CF5">
        <w:rPr>
          <w:rFonts w:cs="Calibri"/>
        </w:rPr>
        <w:t>domain. One College 200 must be taken in year 2; transfer students must take one during their</w:t>
      </w:r>
      <w:r>
        <w:rPr>
          <w:rFonts w:cs="Calibri"/>
        </w:rPr>
        <w:t xml:space="preserve"> </w:t>
      </w:r>
      <w:r w:rsidRPr="00992CF5">
        <w:rPr>
          <w:rFonts w:cs="Calibri"/>
        </w:rPr>
        <w:t>first year at William and Mary. College 200 courses may or may not have prerequisites.</w:t>
      </w:r>
      <w:r>
        <w:rPr>
          <w:rFonts w:cs="Calibri"/>
        </w:rPr>
        <w:t xml:space="preserve"> </w:t>
      </w:r>
    </w:p>
    <w:p w:rsidR="00992CF5" w:rsidRPr="00992CF5" w:rsidRDefault="00992CF5" w:rsidP="00992CF5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992CF5" w:rsidRPr="00992CF5" w:rsidRDefault="00992CF5" w:rsidP="00992CF5">
      <w:pPr>
        <w:autoSpaceDE w:val="0"/>
        <w:autoSpaceDN w:val="0"/>
        <w:adjustRightInd w:val="0"/>
        <w:jc w:val="both"/>
        <w:rPr>
          <w:rFonts w:cs="Calibri"/>
          <w:u w:val="single"/>
        </w:rPr>
      </w:pPr>
      <w:r w:rsidRPr="00992CF5">
        <w:rPr>
          <w:rFonts w:cs="Calibri"/>
          <w:u w:val="single"/>
        </w:rPr>
        <w:t>Domain Descriptions</w:t>
      </w:r>
    </w:p>
    <w:p w:rsidR="00992CF5" w:rsidRPr="00992CF5" w:rsidRDefault="00992CF5" w:rsidP="00992CF5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992CF5" w:rsidRPr="00992CF5" w:rsidRDefault="00992CF5" w:rsidP="00992CF5">
      <w:pPr>
        <w:autoSpaceDE w:val="0"/>
        <w:autoSpaceDN w:val="0"/>
        <w:adjustRightInd w:val="0"/>
        <w:jc w:val="both"/>
        <w:rPr>
          <w:rFonts w:cs="Calibri"/>
        </w:rPr>
      </w:pPr>
      <w:r w:rsidRPr="00992CF5">
        <w:rPr>
          <w:rFonts w:cs="Calibri"/>
        </w:rPr>
        <w:t>Arts, Letters, and Values (ALV)</w:t>
      </w:r>
    </w:p>
    <w:p w:rsidR="00992CF5" w:rsidRDefault="00992CF5" w:rsidP="00992CF5">
      <w:pPr>
        <w:autoSpaceDE w:val="0"/>
        <w:autoSpaceDN w:val="0"/>
        <w:adjustRightInd w:val="0"/>
        <w:rPr>
          <w:rFonts w:cs="Calibri"/>
        </w:rPr>
      </w:pPr>
      <w:r w:rsidRPr="00992CF5">
        <w:rPr>
          <w:rFonts w:cs="Calibri"/>
        </w:rPr>
        <w:t>Courses in this domain examine the expression and evaluation of values and attitudes. Courses</w:t>
      </w:r>
      <w:r>
        <w:rPr>
          <w:rFonts w:cs="Calibri"/>
        </w:rPr>
        <w:t xml:space="preserve"> </w:t>
      </w:r>
      <w:r w:rsidRPr="00992CF5">
        <w:rPr>
          <w:rFonts w:cs="Calibri"/>
        </w:rPr>
        <w:t>may develop the ability of students to express their own values and attitudes or to develop their</w:t>
      </w:r>
      <w:r>
        <w:rPr>
          <w:rFonts w:cs="Calibri"/>
        </w:rPr>
        <w:t xml:space="preserve"> </w:t>
      </w:r>
      <w:r w:rsidRPr="00992CF5">
        <w:rPr>
          <w:rFonts w:cs="Calibri"/>
        </w:rPr>
        <w:t>own evaluations using literature, art, music, performance, or philosophy. Others may examine the</w:t>
      </w:r>
      <w:r>
        <w:rPr>
          <w:rFonts w:cs="Calibri"/>
        </w:rPr>
        <w:t xml:space="preserve"> </w:t>
      </w:r>
      <w:r w:rsidRPr="00992CF5">
        <w:rPr>
          <w:rFonts w:cs="Calibri"/>
        </w:rPr>
        <w:t>expressions and evaluations themselves historically, cross-culturally, or via the social and</w:t>
      </w:r>
      <w:r w:rsidR="008A5EF4">
        <w:rPr>
          <w:rFonts w:cs="Calibri"/>
        </w:rPr>
        <w:t xml:space="preserve"> </w:t>
      </w:r>
      <w:r w:rsidRPr="00992CF5">
        <w:rPr>
          <w:rFonts w:cs="Calibri"/>
        </w:rPr>
        <w:t>cognitive processes that produce them.</w:t>
      </w:r>
    </w:p>
    <w:p w:rsidR="00992CF5" w:rsidRPr="00992CF5" w:rsidRDefault="00992CF5" w:rsidP="00992CF5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992CF5" w:rsidRPr="00992CF5" w:rsidRDefault="00992CF5" w:rsidP="00992CF5">
      <w:pPr>
        <w:autoSpaceDE w:val="0"/>
        <w:autoSpaceDN w:val="0"/>
        <w:adjustRightInd w:val="0"/>
        <w:jc w:val="both"/>
        <w:rPr>
          <w:rFonts w:cs="Calibri"/>
        </w:rPr>
      </w:pPr>
      <w:r w:rsidRPr="00992CF5">
        <w:rPr>
          <w:rFonts w:cs="Calibri"/>
        </w:rPr>
        <w:t>Cultures, Societies, and the Individual (CSI)</w:t>
      </w:r>
    </w:p>
    <w:p w:rsidR="00992CF5" w:rsidRDefault="00992CF5" w:rsidP="00992CF5">
      <w:pPr>
        <w:autoSpaceDE w:val="0"/>
        <w:autoSpaceDN w:val="0"/>
        <w:adjustRightInd w:val="0"/>
        <w:rPr>
          <w:rFonts w:cs="Calibri"/>
        </w:rPr>
      </w:pPr>
      <w:r w:rsidRPr="00992CF5">
        <w:rPr>
          <w:rFonts w:cs="Calibri"/>
        </w:rPr>
        <w:t>Courses in this domain examine the realm of human cultures, societies, and individuals through</w:t>
      </w:r>
      <w:r>
        <w:rPr>
          <w:rFonts w:cs="Calibri"/>
        </w:rPr>
        <w:t xml:space="preserve"> </w:t>
      </w:r>
      <w:r w:rsidRPr="00992CF5">
        <w:rPr>
          <w:rFonts w:cs="Calibri"/>
        </w:rPr>
        <w:t>their development, organization, and interaction. Some courses employ mathematical modeling,</w:t>
      </w:r>
      <w:r>
        <w:rPr>
          <w:rFonts w:cs="Calibri"/>
        </w:rPr>
        <w:t xml:space="preserve"> </w:t>
      </w:r>
      <w:r w:rsidRPr="00992CF5">
        <w:rPr>
          <w:rFonts w:cs="Calibri"/>
        </w:rPr>
        <w:t>statistical analysis, and scientific experimentation; some, the analysis of artifacts and texts; and</w:t>
      </w:r>
      <w:r>
        <w:rPr>
          <w:rFonts w:cs="Calibri"/>
        </w:rPr>
        <w:t xml:space="preserve"> </w:t>
      </w:r>
      <w:r w:rsidRPr="00992CF5">
        <w:rPr>
          <w:rFonts w:cs="Calibri"/>
        </w:rPr>
        <w:t>other, observation, inference, and extrapolation. Students learn to describe, theorize, and explain</w:t>
      </w:r>
      <w:r>
        <w:rPr>
          <w:rFonts w:cs="Calibri"/>
        </w:rPr>
        <w:t xml:space="preserve"> </w:t>
      </w:r>
      <w:r w:rsidRPr="00992CF5">
        <w:rPr>
          <w:rFonts w:cs="Calibri"/>
        </w:rPr>
        <w:t>human cultures, societies, and individuals in their variety over time and space.</w:t>
      </w:r>
    </w:p>
    <w:p w:rsidR="00992CF5" w:rsidRPr="00992CF5" w:rsidRDefault="00992CF5" w:rsidP="00992CF5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992CF5" w:rsidRPr="00992CF5" w:rsidRDefault="00992CF5" w:rsidP="00992CF5">
      <w:pPr>
        <w:autoSpaceDE w:val="0"/>
        <w:autoSpaceDN w:val="0"/>
        <w:adjustRightInd w:val="0"/>
        <w:jc w:val="both"/>
        <w:rPr>
          <w:rFonts w:cs="Calibri"/>
        </w:rPr>
      </w:pPr>
      <w:r w:rsidRPr="00992CF5">
        <w:rPr>
          <w:rFonts w:cs="Calibri"/>
        </w:rPr>
        <w:t>The Natural World and Quantitative Reasoning (NQR)</w:t>
      </w:r>
    </w:p>
    <w:p w:rsidR="00992CF5" w:rsidRDefault="00992CF5" w:rsidP="00992CF5">
      <w:pPr>
        <w:autoSpaceDE w:val="0"/>
        <w:autoSpaceDN w:val="0"/>
        <w:adjustRightInd w:val="0"/>
        <w:rPr>
          <w:rFonts w:cs="Calibri"/>
        </w:rPr>
      </w:pPr>
      <w:r w:rsidRPr="00992CF5">
        <w:rPr>
          <w:rFonts w:cs="Calibri"/>
        </w:rPr>
        <w:t>Courses in this domain examine the natural world and physical universe and the means by which</w:t>
      </w:r>
      <w:r>
        <w:rPr>
          <w:rFonts w:cs="Calibri"/>
        </w:rPr>
        <w:t xml:space="preserve"> </w:t>
      </w:r>
      <w:r w:rsidRPr="00992CF5">
        <w:rPr>
          <w:rFonts w:cs="Calibri"/>
        </w:rPr>
        <w:t>humans observe, measure, model, and interpret it. Courses explore the process of scientific</w:t>
      </w:r>
      <w:r>
        <w:rPr>
          <w:rFonts w:cs="Calibri"/>
        </w:rPr>
        <w:t xml:space="preserve"> </w:t>
      </w:r>
      <w:r w:rsidRPr="00992CF5">
        <w:rPr>
          <w:rFonts w:cs="Calibri"/>
        </w:rPr>
        <w:t>discovery, including the methods required to gather and assess empirical data, investigate the</w:t>
      </w:r>
      <w:r>
        <w:rPr>
          <w:rFonts w:cs="Calibri"/>
        </w:rPr>
        <w:t xml:space="preserve"> </w:t>
      </w:r>
      <w:r w:rsidRPr="00992CF5">
        <w:rPr>
          <w:rFonts w:cs="Calibri"/>
        </w:rPr>
        <w:t>predictions of existing theories, and develop experimentally testable hypotheses. Courses may</w:t>
      </w:r>
      <w:r>
        <w:rPr>
          <w:rFonts w:cs="Calibri"/>
        </w:rPr>
        <w:t xml:space="preserve"> </w:t>
      </w:r>
      <w:r w:rsidRPr="00992CF5">
        <w:rPr>
          <w:rFonts w:cs="Calibri"/>
        </w:rPr>
        <w:t>also focus on mathematical or computational methods as applied to these investigations.</w:t>
      </w:r>
      <w:r>
        <w:rPr>
          <w:rFonts w:cs="Calibri"/>
        </w:rPr>
        <w:t xml:space="preserve">  </w:t>
      </w:r>
      <w:r w:rsidRPr="00992CF5">
        <w:rPr>
          <w:rFonts w:cs="Calibri"/>
        </w:rPr>
        <w:t>Students develop their understanding not only of the foundations, implications, and uses of</w:t>
      </w:r>
      <w:r>
        <w:rPr>
          <w:rFonts w:cs="Calibri"/>
        </w:rPr>
        <w:t xml:space="preserve"> </w:t>
      </w:r>
      <w:r w:rsidRPr="00992CF5">
        <w:rPr>
          <w:rFonts w:cs="Calibri"/>
        </w:rPr>
        <w:t>scientific knowledge but also how scientific approaches can be used to create tangible products.</w:t>
      </w:r>
      <w:r>
        <w:rPr>
          <w:rFonts w:cs="Calibri"/>
        </w:rPr>
        <w:t xml:space="preserve">  </w:t>
      </w:r>
    </w:p>
    <w:p w:rsidR="003901D5" w:rsidRDefault="00B50C50" w:rsidP="00B50C50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br/>
      </w:r>
      <w:r w:rsidR="003901D5" w:rsidRPr="003901D5">
        <w:rPr>
          <w:rFonts w:cs="Calibri"/>
        </w:rPr>
        <w:t xml:space="preserve">Please </w:t>
      </w:r>
      <w:r w:rsidR="00992CF5" w:rsidRPr="00992CF5">
        <w:rPr>
          <w:rFonts w:cs="Calibri"/>
        </w:rPr>
        <w:t xml:space="preserve">answer the following questions about this </w:t>
      </w:r>
      <w:r w:rsidR="003901D5" w:rsidRPr="003901D5">
        <w:rPr>
          <w:rFonts w:cs="Calibri"/>
        </w:rPr>
        <w:t xml:space="preserve">COLL </w:t>
      </w:r>
      <w:r w:rsidR="00992CF5">
        <w:rPr>
          <w:rFonts w:cs="Calibri"/>
        </w:rPr>
        <w:t>2</w:t>
      </w:r>
      <w:r w:rsidR="003901D5" w:rsidRPr="003901D5">
        <w:rPr>
          <w:rFonts w:cs="Calibri"/>
        </w:rPr>
        <w:t>00 course</w:t>
      </w:r>
      <w:r w:rsidR="003901D5">
        <w:rPr>
          <w:rFonts w:cs="Calibri"/>
        </w:rPr>
        <w:t>:</w:t>
      </w:r>
    </w:p>
    <w:p w:rsidR="00D07D7D" w:rsidRPr="00D07D7D" w:rsidRDefault="00D07D7D" w:rsidP="00B50C50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8A5EF4" w:rsidRDefault="008A5EF4">
      <w:pPr>
        <w:spacing w:after="200" w:line="276" w:lineRule="auto"/>
        <w:rPr>
          <w:rFonts w:cs="Calibri"/>
        </w:rPr>
      </w:pPr>
      <w:r>
        <w:rPr>
          <w:rFonts w:cs="Calibri"/>
        </w:rPr>
        <w:br w:type="page"/>
      </w:r>
    </w:p>
    <w:p w:rsidR="003901D5" w:rsidRDefault="00D07D7D" w:rsidP="003901D5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lastRenderedPageBreak/>
        <w:t>A.  Primary Domain(s):</w:t>
      </w:r>
    </w:p>
    <w:p w:rsidR="008A5EF4" w:rsidRPr="008A5EF4" w:rsidRDefault="008A5EF4" w:rsidP="008A5EF4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FF7A3E" w:rsidRPr="00EB2827" w:rsidRDefault="00D07D7D" w:rsidP="00D07D7D">
      <w:pPr>
        <w:autoSpaceDE w:val="0"/>
        <w:autoSpaceDN w:val="0"/>
        <w:adjustRightInd w:val="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 xml:space="preserve">(1) </w:t>
      </w:r>
      <w:r w:rsidR="00115A05">
        <w:rPr>
          <w:rFonts w:cs="Calibri"/>
        </w:rPr>
        <w:t>COLL 200 courses must spend at least 50% of the course covering one (or at most two) of the three domains (ALV, CSI, NQR).  What domain(s) is this course anchored in?</w:t>
      </w:r>
      <w:r w:rsidR="00EB2827">
        <w:rPr>
          <w:rFonts w:cs="Calibri"/>
        </w:rPr>
        <w:br/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752"/>
        <w:gridCol w:w="1752"/>
        <w:gridCol w:w="1752"/>
      </w:tblGrid>
      <w:tr w:rsidR="00115A05" w:rsidTr="007A3678">
        <w:trPr>
          <w:trHeight w:val="394"/>
        </w:trPr>
        <w:tc>
          <w:tcPr>
            <w:tcW w:w="1752" w:type="dxa"/>
            <w:tcBorders>
              <w:right w:val="nil"/>
            </w:tcBorders>
          </w:tcPr>
          <w:p w:rsidR="00115A05" w:rsidRDefault="00115A05" w:rsidP="005E4C0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sym w:font="Monotype Sorts" w:char="F071"/>
            </w:r>
            <w:r>
              <w:rPr>
                <w:rFonts w:cs="Calibri"/>
              </w:rPr>
              <w:t xml:space="preserve">   ALV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:rsidR="00115A05" w:rsidRDefault="00115A05" w:rsidP="005E4C0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sym w:font="Monotype Sorts" w:char="F071"/>
            </w:r>
            <w:r>
              <w:rPr>
                <w:rFonts w:cs="Calibri"/>
              </w:rPr>
              <w:t xml:space="preserve">   CSI</w:t>
            </w:r>
          </w:p>
        </w:tc>
        <w:tc>
          <w:tcPr>
            <w:tcW w:w="1752" w:type="dxa"/>
            <w:tcBorders>
              <w:left w:val="nil"/>
            </w:tcBorders>
          </w:tcPr>
          <w:p w:rsidR="00115A05" w:rsidRDefault="00115A05" w:rsidP="005E4C0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sym w:font="Monotype Sorts" w:char="F071"/>
            </w:r>
            <w:r>
              <w:rPr>
                <w:rFonts w:cs="Calibri"/>
              </w:rPr>
              <w:t xml:space="preserve">   NQR</w:t>
            </w:r>
          </w:p>
        </w:tc>
      </w:tr>
    </w:tbl>
    <w:p w:rsidR="008A5EF4" w:rsidRPr="008A5EF4" w:rsidRDefault="008A5EF4" w:rsidP="00D07D7D">
      <w:pPr>
        <w:autoSpaceDE w:val="0"/>
        <w:autoSpaceDN w:val="0"/>
        <w:adjustRightInd w:val="0"/>
        <w:ind w:left="576" w:hanging="288"/>
        <w:rPr>
          <w:rFonts w:cs="Calibri"/>
          <w:sz w:val="16"/>
          <w:szCs w:val="16"/>
        </w:rPr>
      </w:pPr>
    </w:p>
    <w:p w:rsidR="005E4C05" w:rsidRPr="00EB2827" w:rsidRDefault="00D07D7D" w:rsidP="00D07D7D">
      <w:pPr>
        <w:autoSpaceDE w:val="0"/>
        <w:autoSpaceDN w:val="0"/>
        <w:adjustRightInd w:val="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 xml:space="preserve">(2) </w:t>
      </w:r>
      <w:r w:rsidR="00115A05">
        <w:rPr>
          <w:rFonts w:cs="Calibri"/>
        </w:rPr>
        <w:t>Please briefly explain why this course belongs in the relevant domain(s).  How much of the course deals with the relevant domain(s)?</w:t>
      </w:r>
      <w:r w:rsidR="00EB2827">
        <w:rPr>
          <w:rFonts w:cs="Calibri"/>
        </w:rPr>
        <w:br/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0440"/>
      </w:tblGrid>
      <w:tr w:rsidR="005E4C05" w:rsidTr="008A5EF4">
        <w:trPr>
          <w:trHeight w:val="1800"/>
        </w:trPr>
        <w:tc>
          <w:tcPr>
            <w:tcW w:w="10512" w:type="dxa"/>
          </w:tcPr>
          <w:p w:rsidR="005E4C05" w:rsidRDefault="005E4C05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E52877" w:rsidRPr="008A5EF4" w:rsidRDefault="00E52877" w:rsidP="00E52877">
      <w:pPr>
        <w:autoSpaceDE w:val="0"/>
        <w:autoSpaceDN w:val="0"/>
        <w:adjustRightInd w:val="0"/>
        <w:ind w:left="288" w:hanging="288"/>
        <w:rPr>
          <w:rFonts w:cs="Calibri"/>
          <w:sz w:val="16"/>
          <w:szCs w:val="16"/>
        </w:rPr>
      </w:pPr>
    </w:p>
    <w:p w:rsidR="00D07D7D" w:rsidRPr="00EB2827" w:rsidRDefault="00D07D7D" w:rsidP="00D07D7D">
      <w:pPr>
        <w:autoSpaceDE w:val="0"/>
        <w:autoSpaceDN w:val="0"/>
        <w:adjustRightInd w:val="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>(3) COLL 200 course</w:t>
      </w:r>
      <w:r w:rsidR="00BE1EC2">
        <w:rPr>
          <w:rFonts w:cs="Calibri"/>
        </w:rPr>
        <w:t>s</w:t>
      </w:r>
      <w:r>
        <w:rPr>
          <w:rFonts w:cs="Calibri"/>
        </w:rPr>
        <w:t xml:space="preserve"> significantly enhance student knowledge by introducing ideas and methods central to a domain(s).  What specific topics in the home domain(s) does the course introduce?</w:t>
      </w:r>
      <w:r>
        <w:rPr>
          <w:rFonts w:cs="Calibri"/>
        </w:rPr>
        <w:br/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0440"/>
      </w:tblGrid>
      <w:tr w:rsidR="00D07D7D" w:rsidTr="008A5EF4">
        <w:trPr>
          <w:trHeight w:val="1800"/>
        </w:trPr>
        <w:tc>
          <w:tcPr>
            <w:tcW w:w="10512" w:type="dxa"/>
          </w:tcPr>
          <w:p w:rsidR="00D07D7D" w:rsidRDefault="00D07D7D" w:rsidP="00B4459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D07D7D" w:rsidRPr="00EB2827" w:rsidRDefault="00D07D7D" w:rsidP="00D07D7D">
      <w:pPr>
        <w:autoSpaceDE w:val="0"/>
        <w:autoSpaceDN w:val="0"/>
        <w:adjustRightInd w:val="0"/>
        <w:ind w:left="288" w:hanging="288"/>
        <w:rPr>
          <w:rFonts w:cs="Calibri"/>
        </w:rPr>
      </w:pPr>
    </w:p>
    <w:p w:rsidR="00D07D7D" w:rsidRDefault="00D07D7D" w:rsidP="00115A05">
      <w:pPr>
        <w:autoSpaceDE w:val="0"/>
        <w:autoSpaceDN w:val="0"/>
        <w:adjustRightInd w:val="0"/>
        <w:ind w:left="288" w:hanging="288"/>
        <w:rPr>
          <w:rFonts w:cs="Calibri"/>
        </w:rPr>
      </w:pPr>
      <w:r>
        <w:rPr>
          <w:rFonts w:cs="Calibri"/>
        </w:rPr>
        <w:t>B</w:t>
      </w:r>
      <w:r w:rsidR="008C7C96">
        <w:rPr>
          <w:rFonts w:cs="Calibri"/>
        </w:rPr>
        <w:t xml:space="preserve">.  </w:t>
      </w:r>
      <w:r>
        <w:rPr>
          <w:rFonts w:cs="Calibri"/>
        </w:rPr>
        <w:t>Reaching Out:</w:t>
      </w:r>
    </w:p>
    <w:p w:rsidR="008A5EF4" w:rsidRPr="008A5EF4" w:rsidRDefault="008A5EF4" w:rsidP="00115A05">
      <w:pPr>
        <w:autoSpaceDE w:val="0"/>
        <w:autoSpaceDN w:val="0"/>
        <w:adjustRightInd w:val="0"/>
        <w:ind w:left="288" w:hanging="288"/>
        <w:rPr>
          <w:rFonts w:cs="Calibri"/>
          <w:sz w:val="16"/>
          <w:szCs w:val="16"/>
        </w:rPr>
      </w:pPr>
    </w:p>
    <w:p w:rsidR="00115A05" w:rsidRPr="00EB2827" w:rsidRDefault="00D07D7D" w:rsidP="00D07D7D">
      <w:pPr>
        <w:autoSpaceDE w:val="0"/>
        <w:autoSpaceDN w:val="0"/>
        <w:adjustRightInd w:val="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 xml:space="preserve">(1) </w:t>
      </w:r>
      <w:r w:rsidR="00115A05">
        <w:rPr>
          <w:rFonts w:cs="Calibri"/>
        </w:rPr>
        <w:t>What domain(s) does this course reach out to?</w:t>
      </w:r>
      <w:r w:rsidR="00115A05">
        <w:rPr>
          <w:rFonts w:cs="Calibri"/>
        </w:rPr>
        <w:br/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752"/>
        <w:gridCol w:w="1752"/>
        <w:gridCol w:w="1752"/>
      </w:tblGrid>
      <w:tr w:rsidR="00115A05" w:rsidTr="005B0983">
        <w:trPr>
          <w:trHeight w:val="394"/>
        </w:trPr>
        <w:tc>
          <w:tcPr>
            <w:tcW w:w="1752" w:type="dxa"/>
            <w:tcBorders>
              <w:right w:val="nil"/>
            </w:tcBorders>
          </w:tcPr>
          <w:p w:rsidR="00115A05" w:rsidRDefault="00115A05" w:rsidP="00B4459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sym w:font="Monotype Sorts" w:char="F071"/>
            </w:r>
            <w:r>
              <w:rPr>
                <w:rFonts w:cs="Calibri"/>
              </w:rPr>
              <w:t xml:space="preserve">   ALV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:rsidR="00115A05" w:rsidRDefault="00115A05" w:rsidP="00B4459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sym w:font="Monotype Sorts" w:char="F071"/>
            </w:r>
            <w:r>
              <w:rPr>
                <w:rFonts w:cs="Calibri"/>
              </w:rPr>
              <w:t xml:space="preserve">   CSI</w:t>
            </w:r>
          </w:p>
        </w:tc>
        <w:tc>
          <w:tcPr>
            <w:tcW w:w="1752" w:type="dxa"/>
            <w:tcBorders>
              <w:left w:val="nil"/>
            </w:tcBorders>
          </w:tcPr>
          <w:p w:rsidR="00115A05" w:rsidRDefault="00115A05" w:rsidP="00B4459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sym w:font="Monotype Sorts" w:char="F071"/>
            </w:r>
            <w:r>
              <w:rPr>
                <w:rFonts w:cs="Calibri"/>
              </w:rPr>
              <w:t xml:space="preserve">   NQR</w:t>
            </w:r>
          </w:p>
        </w:tc>
      </w:tr>
    </w:tbl>
    <w:p w:rsidR="00115A05" w:rsidRPr="00115A05" w:rsidRDefault="00115A05" w:rsidP="00115A05">
      <w:pPr>
        <w:autoSpaceDE w:val="0"/>
        <w:autoSpaceDN w:val="0"/>
        <w:adjustRightInd w:val="0"/>
        <w:ind w:left="288"/>
        <w:jc w:val="both"/>
        <w:rPr>
          <w:rFonts w:cs="Calibri"/>
          <w:sz w:val="16"/>
          <w:szCs w:val="16"/>
        </w:rPr>
      </w:pPr>
    </w:p>
    <w:p w:rsidR="005E4C05" w:rsidRPr="00EB2827" w:rsidRDefault="00D07D7D" w:rsidP="00D07D7D">
      <w:pPr>
        <w:autoSpaceDE w:val="0"/>
        <w:autoSpaceDN w:val="0"/>
        <w:adjustRightInd w:val="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 xml:space="preserve">(2) </w:t>
      </w:r>
      <w:r w:rsidR="00115A05">
        <w:rPr>
          <w:rFonts w:cs="Calibri"/>
        </w:rPr>
        <w:t>Please briefly describe how the course</w:t>
      </w:r>
      <w:r>
        <w:rPr>
          <w:rFonts w:cs="Calibri"/>
        </w:rPr>
        <w:t xml:space="preserve"> reaches out to the other domain(s).  </w:t>
      </w:r>
      <w:r w:rsidR="00EB2827">
        <w:rPr>
          <w:rFonts w:cs="Calibri"/>
        </w:rPr>
        <w:br/>
      </w:r>
    </w:p>
    <w:tbl>
      <w:tblPr>
        <w:tblStyle w:val="TableGrid"/>
        <w:tblW w:w="10440" w:type="dxa"/>
        <w:tblInd w:w="576" w:type="dxa"/>
        <w:tblLook w:val="04A0" w:firstRow="1" w:lastRow="0" w:firstColumn="1" w:lastColumn="0" w:noHBand="0" w:noVBand="1"/>
      </w:tblPr>
      <w:tblGrid>
        <w:gridCol w:w="10440"/>
      </w:tblGrid>
      <w:tr w:rsidR="005E4C05" w:rsidTr="008A5EF4">
        <w:trPr>
          <w:trHeight w:val="1800"/>
        </w:trPr>
        <w:tc>
          <w:tcPr>
            <w:tcW w:w="10440" w:type="dxa"/>
          </w:tcPr>
          <w:p w:rsidR="005E4C05" w:rsidRDefault="005E4C05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7E75B5" w:rsidRPr="008A5EF4" w:rsidRDefault="007E75B5" w:rsidP="00E52877">
      <w:pPr>
        <w:autoSpaceDE w:val="0"/>
        <w:autoSpaceDN w:val="0"/>
        <w:adjustRightInd w:val="0"/>
        <w:ind w:left="576" w:hanging="288"/>
        <w:rPr>
          <w:rFonts w:cs="Calibri"/>
          <w:sz w:val="16"/>
          <w:szCs w:val="16"/>
        </w:rPr>
      </w:pPr>
    </w:p>
    <w:p w:rsidR="005E4C05" w:rsidRPr="00EB2827" w:rsidRDefault="00D07D7D" w:rsidP="00D07D7D">
      <w:pPr>
        <w:autoSpaceDE w:val="0"/>
        <w:autoSpaceDN w:val="0"/>
        <w:adjustRightInd w:val="0"/>
        <w:spacing w:after="12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>(3</w:t>
      </w:r>
      <w:r w:rsidR="00771CFE">
        <w:rPr>
          <w:rFonts w:cs="Calibri"/>
        </w:rPr>
        <w:t xml:space="preserve">) </w:t>
      </w:r>
      <w:r>
        <w:rPr>
          <w:rFonts w:cs="Calibri"/>
        </w:rPr>
        <w:t>Which assignments ask students to demonstrate their understanding of the links/relationships to other domains</w:t>
      </w:r>
      <w:r w:rsidR="00771CFE">
        <w:rPr>
          <w:rFonts w:cs="Calibri"/>
        </w:rPr>
        <w:t>?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0440"/>
      </w:tblGrid>
      <w:tr w:rsidR="005E4C05" w:rsidTr="008A5EF4">
        <w:trPr>
          <w:trHeight w:val="1800"/>
        </w:trPr>
        <w:tc>
          <w:tcPr>
            <w:tcW w:w="10525" w:type="dxa"/>
          </w:tcPr>
          <w:p w:rsidR="005E4C05" w:rsidRDefault="005E4C05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373508" w:rsidRDefault="00373508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373508" w:rsidRDefault="00373508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373508" w:rsidRDefault="00373508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373508" w:rsidRDefault="00373508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E52877" w:rsidRDefault="005B0983" w:rsidP="00E62F02">
      <w:pPr>
        <w:autoSpaceDE w:val="0"/>
        <w:autoSpaceDN w:val="0"/>
        <w:adjustRightInd w:val="0"/>
        <w:ind w:left="288" w:hanging="288"/>
        <w:rPr>
          <w:rFonts w:cs="Calibri"/>
        </w:rPr>
      </w:pPr>
      <w:r>
        <w:rPr>
          <w:rFonts w:cs="Calibri"/>
        </w:rPr>
        <w:lastRenderedPageBreak/>
        <w:t>C</w:t>
      </w:r>
      <w:r w:rsidR="00771CFE">
        <w:rPr>
          <w:rFonts w:cs="Calibri"/>
        </w:rPr>
        <w:t xml:space="preserve">.  </w:t>
      </w:r>
      <w:r>
        <w:rPr>
          <w:rFonts w:cs="Calibri"/>
        </w:rPr>
        <w:t>Methodologies</w:t>
      </w:r>
      <w:r w:rsidR="00E62F02">
        <w:rPr>
          <w:rFonts w:cs="Calibri"/>
        </w:rPr>
        <w:t xml:space="preserve">:  </w:t>
      </w:r>
      <w:r>
        <w:rPr>
          <w:rFonts w:cs="Calibri"/>
        </w:rPr>
        <w:t>To the extent possible, COLL 200 courses give students the opportunity to put the methodologies represented in the course into practice.  In some cases, a course might use the methods of another domain to consider the topic of the course.  In other cases, students might apply the methods of the home domain to a topic in another domain.</w:t>
      </w:r>
    </w:p>
    <w:p w:rsidR="007E75B5" w:rsidRPr="008A5EF4" w:rsidRDefault="007E75B5" w:rsidP="00E62F02">
      <w:pPr>
        <w:autoSpaceDE w:val="0"/>
        <w:autoSpaceDN w:val="0"/>
        <w:adjustRightInd w:val="0"/>
        <w:ind w:left="288" w:hanging="288"/>
        <w:rPr>
          <w:rFonts w:cs="Calibri"/>
          <w:sz w:val="16"/>
          <w:szCs w:val="16"/>
        </w:rPr>
      </w:pPr>
    </w:p>
    <w:p w:rsidR="005E4C05" w:rsidRPr="005B0983" w:rsidRDefault="00E62F02" w:rsidP="005B09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left="576" w:hanging="288"/>
        <w:rPr>
          <w:rFonts w:cs="Calibri"/>
          <w:sz w:val="16"/>
          <w:szCs w:val="16"/>
        </w:rPr>
      </w:pPr>
      <w:r w:rsidRPr="005B0983">
        <w:rPr>
          <w:rFonts w:cs="Calibri"/>
        </w:rPr>
        <w:t xml:space="preserve">What </w:t>
      </w:r>
      <w:r w:rsidR="005B0983" w:rsidRPr="005B0983">
        <w:rPr>
          <w:rFonts w:cs="Calibri"/>
        </w:rPr>
        <w:t>specific methods do students put into practice</w:t>
      </w:r>
      <w:r w:rsidRPr="005B0983">
        <w:rPr>
          <w:rFonts w:cs="Calibri"/>
        </w:rPr>
        <w:t>?</w:t>
      </w:r>
    </w:p>
    <w:tbl>
      <w:tblPr>
        <w:tblStyle w:val="TableGrid"/>
        <w:tblW w:w="10526" w:type="dxa"/>
        <w:tblInd w:w="576" w:type="dxa"/>
        <w:tblLook w:val="04A0" w:firstRow="1" w:lastRow="0" w:firstColumn="1" w:lastColumn="0" w:noHBand="0" w:noVBand="1"/>
      </w:tblPr>
      <w:tblGrid>
        <w:gridCol w:w="10526"/>
      </w:tblGrid>
      <w:tr w:rsidR="005E4C05" w:rsidTr="008A5EF4">
        <w:trPr>
          <w:trHeight w:val="1800"/>
        </w:trPr>
        <w:tc>
          <w:tcPr>
            <w:tcW w:w="10526" w:type="dxa"/>
          </w:tcPr>
          <w:p w:rsidR="005E4C05" w:rsidRDefault="005E4C05" w:rsidP="00E528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EB2827" w:rsidRPr="00EB2827" w:rsidRDefault="00E62F02" w:rsidP="00BC540B">
      <w:pPr>
        <w:autoSpaceDE w:val="0"/>
        <w:autoSpaceDN w:val="0"/>
        <w:adjustRightInd w:val="0"/>
        <w:spacing w:after="12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 xml:space="preserve">(2) </w:t>
      </w:r>
      <w:r w:rsidR="005B0983">
        <w:rPr>
          <w:rFonts w:cs="Calibri"/>
        </w:rPr>
        <w:t>What assignments are used to do this</w:t>
      </w:r>
      <w:r>
        <w:rPr>
          <w:rFonts w:cs="Calibri"/>
        </w:rPr>
        <w:t>?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0224"/>
      </w:tblGrid>
      <w:tr w:rsidR="005E4C05" w:rsidTr="008A5EF4">
        <w:trPr>
          <w:trHeight w:val="1800"/>
        </w:trPr>
        <w:tc>
          <w:tcPr>
            <w:tcW w:w="10224" w:type="dxa"/>
          </w:tcPr>
          <w:p w:rsidR="005E4C05" w:rsidRDefault="005E4C05" w:rsidP="00A90D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A90D03" w:rsidRDefault="00A90D03" w:rsidP="00A90D03">
      <w:pPr>
        <w:autoSpaceDE w:val="0"/>
        <w:autoSpaceDN w:val="0"/>
        <w:adjustRightInd w:val="0"/>
        <w:ind w:left="576" w:hanging="288"/>
        <w:rPr>
          <w:rFonts w:cs="Calibri"/>
        </w:rPr>
      </w:pPr>
    </w:p>
    <w:p w:rsidR="00A90D03" w:rsidRDefault="007A3678" w:rsidP="00A90D03">
      <w:pPr>
        <w:autoSpaceDE w:val="0"/>
        <w:autoSpaceDN w:val="0"/>
        <w:adjustRightInd w:val="0"/>
        <w:ind w:left="288" w:hanging="288"/>
        <w:rPr>
          <w:rFonts w:cs="Calibri"/>
        </w:rPr>
      </w:pPr>
      <w:r>
        <w:rPr>
          <w:rFonts w:cs="Calibri"/>
        </w:rPr>
        <w:t>D</w:t>
      </w:r>
      <w:r w:rsidR="00D9552A">
        <w:rPr>
          <w:rFonts w:cs="Calibri"/>
        </w:rPr>
        <w:t xml:space="preserve">.  </w:t>
      </w:r>
      <w:r w:rsidR="00E52877">
        <w:rPr>
          <w:rFonts w:cs="Calibri"/>
        </w:rPr>
        <w:t xml:space="preserve">Connection between </w:t>
      </w:r>
      <w:r w:rsidR="00D9552A">
        <w:rPr>
          <w:rFonts w:cs="Calibri"/>
        </w:rPr>
        <w:t>Course Assignments</w:t>
      </w:r>
      <w:r w:rsidR="00E52877">
        <w:rPr>
          <w:rFonts w:cs="Calibri"/>
        </w:rPr>
        <w:t xml:space="preserve"> and Learning Expectations</w:t>
      </w:r>
      <w:r w:rsidR="007E75B5">
        <w:rPr>
          <w:rFonts w:cs="Calibri"/>
        </w:rPr>
        <w:t xml:space="preserve"> associated with COLL </w:t>
      </w:r>
      <w:r>
        <w:rPr>
          <w:rFonts w:cs="Calibri"/>
        </w:rPr>
        <w:t>2</w:t>
      </w:r>
      <w:r w:rsidR="007E75B5">
        <w:rPr>
          <w:rFonts w:cs="Calibri"/>
        </w:rPr>
        <w:t>00</w:t>
      </w:r>
      <w:r w:rsidR="00D9552A">
        <w:rPr>
          <w:rFonts w:cs="Calibri"/>
        </w:rPr>
        <w:t xml:space="preserve">: </w:t>
      </w:r>
    </w:p>
    <w:p w:rsidR="007E75B5" w:rsidRPr="008A5EF4" w:rsidRDefault="007E75B5" w:rsidP="00A90D03">
      <w:pPr>
        <w:autoSpaceDE w:val="0"/>
        <w:autoSpaceDN w:val="0"/>
        <w:adjustRightInd w:val="0"/>
        <w:ind w:left="288" w:hanging="288"/>
        <w:rPr>
          <w:rFonts w:cs="Calibri"/>
          <w:sz w:val="16"/>
          <w:szCs w:val="16"/>
        </w:rPr>
      </w:pPr>
    </w:p>
    <w:p w:rsidR="005E4C05" w:rsidRPr="00EB2827" w:rsidRDefault="00D9552A" w:rsidP="00BC540B">
      <w:pPr>
        <w:autoSpaceDE w:val="0"/>
        <w:autoSpaceDN w:val="0"/>
        <w:adjustRightInd w:val="0"/>
        <w:spacing w:after="12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 xml:space="preserve">(1) </w:t>
      </w:r>
      <w:r w:rsidR="00A90D03">
        <w:rPr>
          <w:rFonts w:cs="Calibri"/>
        </w:rPr>
        <w:t xml:space="preserve">How do the </w:t>
      </w:r>
      <w:r>
        <w:rPr>
          <w:rFonts w:cs="Calibri"/>
        </w:rPr>
        <w:t>specific assignments</w:t>
      </w:r>
      <w:r w:rsidR="00A90D03">
        <w:rPr>
          <w:rFonts w:cs="Calibri"/>
        </w:rPr>
        <w:t xml:space="preserve"> (projects, tests, presentations, etc.)</w:t>
      </w:r>
      <w:r>
        <w:rPr>
          <w:rFonts w:cs="Calibri"/>
        </w:rPr>
        <w:t xml:space="preserve"> </w:t>
      </w:r>
      <w:r w:rsidR="00A90D03" w:rsidRPr="007A3678">
        <w:rPr>
          <w:rFonts w:cs="Calibri"/>
          <w:i/>
        </w:rPr>
        <w:t xml:space="preserve">included in </w:t>
      </w:r>
      <w:r w:rsidRPr="007A3678">
        <w:rPr>
          <w:rFonts w:cs="Calibri"/>
          <w:i/>
        </w:rPr>
        <w:t>this course</w:t>
      </w:r>
      <w:r w:rsidR="00A90D03" w:rsidRPr="007A3678">
        <w:rPr>
          <w:rFonts w:cs="Calibri"/>
          <w:i/>
        </w:rPr>
        <w:t xml:space="preserve"> portfolio</w:t>
      </w:r>
      <w:r w:rsidR="00A90D03">
        <w:rPr>
          <w:rFonts w:cs="Calibri"/>
        </w:rPr>
        <w:t xml:space="preserve"> relate to and address </w:t>
      </w:r>
      <w:r w:rsidR="00A90D03" w:rsidRPr="00EB2827">
        <w:rPr>
          <w:rFonts w:cs="Calibri"/>
          <w:b/>
        </w:rPr>
        <w:t xml:space="preserve">Learning Expectation </w:t>
      </w:r>
      <w:r w:rsidR="007A3678">
        <w:rPr>
          <w:rFonts w:cs="Calibri"/>
          <w:b/>
        </w:rPr>
        <w:t>1</w:t>
      </w:r>
      <w:r w:rsidR="00A90D03" w:rsidRPr="00EB2827">
        <w:rPr>
          <w:rFonts w:cs="Calibri"/>
          <w:b/>
        </w:rPr>
        <w:t>:</w:t>
      </w:r>
      <w:r w:rsidR="00A90D03">
        <w:rPr>
          <w:rFonts w:cs="Calibri"/>
        </w:rPr>
        <w:t xml:space="preserve">  </w:t>
      </w:r>
      <w:r w:rsidR="00F52403">
        <w:rPr>
          <w:rFonts w:cs="Calibri"/>
        </w:rPr>
        <w:t>“</w:t>
      </w:r>
      <w:r w:rsidR="007A3678">
        <w:rPr>
          <w:rFonts w:cs="Calibri"/>
        </w:rPr>
        <w:t>Master basic ideas and methods central to the primary knowledge domain(s)</w:t>
      </w:r>
      <w:r w:rsidR="00F52403">
        <w:rPr>
          <w:rFonts w:cs="Calibri"/>
        </w:rPr>
        <w:t>”</w:t>
      </w:r>
      <w:r w:rsidR="009C0AF4">
        <w:rPr>
          <w:rFonts w:cs="Calibri"/>
        </w:rPr>
        <w:t>?</w:t>
      </w:r>
      <w:r w:rsidR="00A335BD">
        <w:rPr>
          <w:rFonts w:cs="Calibri"/>
        </w:rPr>
        <w:t xml:space="preserve"> 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0224"/>
      </w:tblGrid>
      <w:tr w:rsidR="005E4C05" w:rsidTr="008A5EF4">
        <w:trPr>
          <w:trHeight w:val="1800"/>
        </w:trPr>
        <w:tc>
          <w:tcPr>
            <w:tcW w:w="10224" w:type="dxa"/>
          </w:tcPr>
          <w:p w:rsidR="005E4C05" w:rsidRDefault="005E4C05" w:rsidP="00A90D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A90D03" w:rsidRDefault="00A90D03" w:rsidP="00A90D03">
      <w:pPr>
        <w:autoSpaceDE w:val="0"/>
        <w:autoSpaceDN w:val="0"/>
        <w:adjustRightInd w:val="0"/>
        <w:ind w:left="576" w:hanging="288"/>
        <w:rPr>
          <w:rFonts w:cs="Calibri"/>
        </w:rPr>
      </w:pPr>
    </w:p>
    <w:p w:rsidR="00EB2827" w:rsidRPr="00EB2827" w:rsidRDefault="00A90D03" w:rsidP="00BC540B">
      <w:pPr>
        <w:autoSpaceDE w:val="0"/>
        <w:autoSpaceDN w:val="0"/>
        <w:adjustRightInd w:val="0"/>
        <w:spacing w:after="120"/>
        <w:ind w:left="576" w:hanging="288"/>
        <w:rPr>
          <w:rFonts w:cs="Calibri"/>
          <w:sz w:val="16"/>
          <w:szCs w:val="16"/>
        </w:rPr>
      </w:pPr>
      <w:r>
        <w:rPr>
          <w:rFonts w:cs="Calibri"/>
        </w:rPr>
        <w:t xml:space="preserve">  (</w:t>
      </w:r>
      <w:r w:rsidR="00E52877">
        <w:rPr>
          <w:rFonts w:cs="Calibri"/>
        </w:rPr>
        <w:t>2</w:t>
      </w:r>
      <w:r>
        <w:rPr>
          <w:rFonts w:cs="Calibri"/>
        </w:rPr>
        <w:t xml:space="preserve">) How do the specific assignments (projects, tests, presentations, etc.) </w:t>
      </w:r>
      <w:r w:rsidRPr="007A3678">
        <w:rPr>
          <w:rFonts w:cs="Calibri"/>
          <w:i/>
        </w:rPr>
        <w:t>included in this course portfolio</w:t>
      </w:r>
      <w:r>
        <w:rPr>
          <w:rFonts w:cs="Calibri"/>
        </w:rPr>
        <w:t xml:space="preserve"> relate to and </w:t>
      </w:r>
      <w:r w:rsidR="00E52877">
        <w:rPr>
          <w:rFonts w:cs="Calibri"/>
        </w:rPr>
        <w:t xml:space="preserve">address </w:t>
      </w:r>
      <w:r w:rsidR="00E52877" w:rsidRPr="00EB2827">
        <w:rPr>
          <w:rFonts w:cs="Calibri"/>
          <w:b/>
        </w:rPr>
        <w:t>Learning Expectation 2</w:t>
      </w:r>
      <w:r w:rsidRPr="00EB2827">
        <w:rPr>
          <w:rFonts w:cs="Calibri"/>
          <w:b/>
        </w:rPr>
        <w:t>:</w:t>
      </w:r>
      <w:r>
        <w:rPr>
          <w:rFonts w:cs="Calibri"/>
        </w:rPr>
        <w:t xml:space="preserve">  </w:t>
      </w:r>
      <w:r w:rsidR="00F52403">
        <w:rPr>
          <w:rFonts w:cs="Calibri"/>
        </w:rPr>
        <w:t>“</w:t>
      </w:r>
      <w:r w:rsidR="007A3678">
        <w:rPr>
          <w:rFonts w:cs="Calibri"/>
        </w:rPr>
        <w:t>Make coherent and meaningful interconnections across the academic domains</w:t>
      </w:r>
      <w:r w:rsidR="00F52403">
        <w:rPr>
          <w:rFonts w:cs="Calibri"/>
        </w:rPr>
        <w:t>”</w:t>
      </w:r>
      <w:r>
        <w:rPr>
          <w:rFonts w:cs="Calibri"/>
        </w:rPr>
        <w:t>?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0224"/>
      </w:tblGrid>
      <w:tr w:rsidR="00EB2827" w:rsidTr="008A5EF4">
        <w:trPr>
          <w:trHeight w:val="1800"/>
        </w:trPr>
        <w:tc>
          <w:tcPr>
            <w:tcW w:w="10224" w:type="dxa"/>
          </w:tcPr>
          <w:p w:rsidR="00EB2827" w:rsidRDefault="00EB2827" w:rsidP="00A90D0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FF7A3E" w:rsidRDefault="00FF7A3E" w:rsidP="00EB2827">
      <w:pPr>
        <w:autoSpaceDE w:val="0"/>
        <w:autoSpaceDN w:val="0"/>
        <w:adjustRightInd w:val="0"/>
        <w:rPr>
          <w:rFonts w:cs="Calibri"/>
        </w:rPr>
      </w:pPr>
    </w:p>
    <w:sectPr w:rsidR="00FF7A3E" w:rsidSect="00373508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Sort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773"/>
    <w:multiLevelType w:val="hybridMultilevel"/>
    <w:tmpl w:val="D3CE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41375"/>
    <w:multiLevelType w:val="hybridMultilevel"/>
    <w:tmpl w:val="1DEAE1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427E9"/>
    <w:multiLevelType w:val="hybridMultilevel"/>
    <w:tmpl w:val="BEDC8A4E"/>
    <w:lvl w:ilvl="0" w:tplc="EAAA1924">
      <w:start w:val="1"/>
      <w:numFmt w:val="decimal"/>
      <w:lvlText w:val="(%1)"/>
      <w:lvlJc w:val="left"/>
      <w:pPr>
        <w:ind w:left="64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3E"/>
    <w:rsid w:val="000D4048"/>
    <w:rsid w:val="00115A05"/>
    <w:rsid w:val="00130DB0"/>
    <w:rsid w:val="001A2757"/>
    <w:rsid w:val="002442B5"/>
    <w:rsid w:val="002761C7"/>
    <w:rsid w:val="00373508"/>
    <w:rsid w:val="003901D5"/>
    <w:rsid w:val="003D111C"/>
    <w:rsid w:val="003F1141"/>
    <w:rsid w:val="005B0983"/>
    <w:rsid w:val="005E4C05"/>
    <w:rsid w:val="00725B34"/>
    <w:rsid w:val="00771CFE"/>
    <w:rsid w:val="007A3678"/>
    <w:rsid w:val="007E75B5"/>
    <w:rsid w:val="00801907"/>
    <w:rsid w:val="008A5EF4"/>
    <w:rsid w:val="008A7D26"/>
    <w:rsid w:val="008C7C96"/>
    <w:rsid w:val="008F7BBB"/>
    <w:rsid w:val="00992CF5"/>
    <w:rsid w:val="009C0AF4"/>
    <w:rsid w:val="00A335BD"/>
    <w:rsid w:val="00A90D03"/>
    <w:rsid w:val="00AC5B58"/>
    <w:rsid w:val="00B50C50"/>
    <w:rsid w:val="00BC540B"/>
    <w:rsid w:val="00BE1EC2"/>
    <w:rsid w:val="00D07D7D"/>
    <w:rsid w:val="00D21F4A"/>
    <w:rsid w:val="00D63B50"/>
    <w:rsid w:val="00D9552A"/>
    <w:rsid w:val="00DE6A72"/>
    <w:rsid w:val="00E23DF9"/>
    <w:rsid w:val="00E52877"/>
    <w:rsid w:val="00E53950"/>
    <w:rsid w:val="00E62F02"/>
    <w:rsid w:val="00EB2827"/>
    <w:rsid w:val="00F52403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A3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5E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A3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5E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0AAA-F86E-49AC-93B1-8232F3B5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Ridley-Johnston</dc:creator>
  <cp:lastModifiedBy>Denise Ridley-Johnston</cp:lastModifiedBy>
  <cp:revision>2</cp:revision>
  <dcterms:created xsi:type="dcterms:W3CDTF">2016-10-19T15:51:00Z</dcterms:created>
  <dcterms:modified xsi:type="dcterms:W3CDTF">2016-10-19T15:51:00Z</dcterms:modified>
</cp:coreProperties>
</file>